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40"/>
      </w:pPr>
      <w:r>
        <w:rPr>
          <w:rFonts w:ascii="Arimo" w:hAnsi="Arimo"/>
          <w:b/>
          <w:color w:val="1F4E79"/>
          <w:sz w:val="44"/>
        </w:rPr>
        <w:t>FELHASZNÁLÁSI FELTÉTELEK (ÁSZF)</w:t>
      </w:r>
    </w:p>
    <w:p>
      <w:pPr>
        <w:spacing w:after="200"/>
        <w:pBdr>
          <w:bottom w:val="single" w:sz="12" w:space="5" w:color="2F75B5"/>
        </w:pBdr>
      </w:pPr>
      <w:r>
        <w:rPr>
          <w:rFonts w:ascii="Arimo" w:hAnsi="Arimo"/>
          <w:b/>
          <w:color w:val="666666"/>
          <w:sz w:val="22"/>
        </w:rPr>
        <w:t>FigyeljBefele</w:t>
      </w:r>
    </w:p>
    <w:p>
      <w:pPr>
        <w:pStyle w:val="Heading1"/>
        <w:pBdr>
          <w:bottom w:val="single" w:sz="5" w:space="3" w:color="A9C4DA"/>
        </w:pBdr>
      </w:pPr>
      <w:r>
        <w:t>1. Bevezetés</w:t>
      </w:r>
    </w:p>
    <w:p>
      <w:pPr>
        <w:spacing w:after="120"/>
      </w:pPr>
      <w:r>
        <w:t>Jelen Felhasználási feltételek (a továbbiakban: ÁSZF) a FigyeljBefele (a továbbiakban: Szolgáltatás) használatának feltételeit határozzák meg.</w:t>
      </w:r>
    </w:p>
    <w:p>
      <w:pPr>
        <w:pStyle w:val="LegalMiniheading"/>
      </w:pPr>
      <w:r>
        <w:t>A Szolgáltatás üzemeltetője: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2608"/>
            <w:vAlign w:val="center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  <w:shd w:fill="EEF4F8"/>
          </w:tcPr>
          <w:p>
            <w:pPr>
              <w:spacing w:after="0"/>
              <w:jc w:val="left"/>
            </w:pPr>
            <w:r>
              <w:rPr>
                <w:rFonts w:ascii="Arimo" w:hAnsi="Arimo"/>
                <w:b/>
                <w:color w:val="1F4E79"/>
                <w:sz w:val="19"/>
              </w:rPr>
              <w:t>Név</w:t>
            </w:r>
          </w:p>
        </w:tc>
        <w:tc>
          <w:tcPr>
            <w:tcW w:type="dxa" w:w="6463"/>
            <w:vAlign w:val="center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</w:tcPr>
          <w:p>
            <w:pPr>
              <w:spacing w:after="0"/>
              <w:jc w:val="left"/>
            </w:pPr>
            <w:r>
              <w:t>Dóczi Adrián Márk egyéni vállalkozó</w:t>
            </w:r>
          </w:p>
        </w:tc>
      </w:tr>
      <w:tr>
        <w:tc>
          <w:tcPr>
            <w:tcW w:type="dxa" w:w="2608"/>
            <w:vAlign w:val="center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  <w:shd w:fill="EEF4F8"/>
          </w:tcPr>
          <w:p>
            <w:pPr>
              <w:spacing w:after="0"/>
              <w:jc w:val="left"/>
            </w:pPr>
            <w:r>
              <w:rPr>
                <w:rFonts w:ascii="Arimo" w:hAnsi="Arimo"/>
                <w:b/>
                <w:color w:val="1F4E79"/>
                <w:sz w:val="19"/>
              </w:rPr>
              <w:t>Székhely</w:t>
            </w:r>
          </w:p>
        </w:tc>
        <w:tc>
          <w:tcPr>
            <w:tcW w:type="dxa" w:w="6463"/>
            <w:vAlign w:val="center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</w:tcPr>
          <w:p>
            <w:pPr>
              <w:spacing w:after="0"/>
              <w:jc w:val="left"/>
            </w:pPr>
            <w:r>
              <w:t>MAGYARORSZÁG, 6449 MÉLYKÚT, KINIZSI UTCA 13.</w:t>
            </w:r>
          </w:p>
        </w:tc>
      </w:tr>
      <w:tr>
        <w:tc>
          <w:tcPr>
            <w:tcW w:type="dxa" w:w="2608"/>
            <w:vAlign w:val="center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  <w:shd w:fill="EEF4F8"/>
          </w:tcPr>
          <w:p>
            <w:pPr>
              <w:spacing w:after="0"/>
              <w:jc w:val="left"/>
            </w:pPr>
            <w:r>
              <w:rPr>
                <w:rFonts w:ascii="Arimo" w:hAnsi="Arimo"/>
                <w:b/>
                <w:color w:val="1F4E79"/>
                <w:sz w:val="19"/>
              </w:rPr>
              <w:t>Adószám</w:t>
            </w:r>
          </w:p>
        </w:tc>
        <w:tc>
          <w:tcPr>
            <w:tcW w:type="dxa" w:w="6463"/>
            <w:vAlign w:val="center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</w:tcPr>
          <w:p>
            <w:pPr>
              <w:spacing w:after="0"/>
              <w:jc w:val="left"/>
            </w:pPr>
            <w:r>
              <w:t>91744496-1-23</w:t>
            </w:r>
          </w:p>
        </w:tc>
      </w:tr>
      <w:tr>
        <w:tc>
          <w:tcPr>
            <w:tcW w:type="dxa" w:w="2608"/>
            <w:vAlign w:val="center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  <w:shd w:fill="EEF4F8"/>
          </w:tcPr>
          <w:p>
            <w:pPr>
              <w:spacing w:after="0"/>
              <w:jc w:val="left"/>
            </w:pPr>
            <w:r>
              <w:rPr>
                <w:rFonts w:ascii="Arimo" w:hAnsi="Arimo"/>
                <w:b/>
                <w:color w:val="1F4E79"/>
                <w:sz w:val="19"/>
              </w:rPr>
              <w:t>Nyilvántartási szám</w:t>
            </w:r>
          </w:p>
        </w:tc>
        <w:tc>
          <w:tcPr>
            <w:tcW w:type="dxa" w:w="6463"/>
            <w:vAlign w:val="center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</w:tcPr>
          <w:p>
            <w:pPr>
              <w:spacing w:after="0"/>
              <w:jc w:val="left"/>
            </w:pPr>
            <w:r>
              <w:t>61820539</w:t>
            </w:r>
          </w:p>
        </w:tc>
      </w:tr>
      <w:tr>
        <w:tc>
          <w:tcPr>
            <w:tcW w:type="dxa" w:w="2608"/>
            <w:vAlign w:val="center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  <w:shd w:fill="EEF4F8"/>
          </w:tcPr>
          <w:p>
            <w:pPr>
              <w:spacing w:after="0"/>
              <w:jc w:val="left"/>
            </w:pPr>
            <w:r>
              <w:rPr>
                <w:rFonts w:ascii="Arimo" w:hAnsi="Arimo"/>
                <w:b/>
                <w:color w:val="1F4E79"/>
                <w:sz w:val="19"/>
              </w:rPr>
              <w:t>Kamarai tagság</w:t>
            </w:r>
          </w:p>
        </w:tc>
        <w:tc>
          <w:tcPr>
            <w:tcW w:type="dxa" w:w="6463"/>
            <w:vAlign w:val="center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</w:tcPr>
          <w:p>
            <w:pPr>
              <w:spacing w:after="0"/>
              <w:jc w:val="left"/>
            </w:pPr>
            <w:r>
              <w:t>Bács-Kiskun Vármegyei Kereskedelmi és Iparkamara</w:t>
            </w:r>
          </w:p>
        </w:tc>
      </w:tr>
      <w:tr>
        <w:tc>
          <w:tcPr>
            <w:tcW w:type="dxa" w:w="2608"/>
            <w:vAlign w:val="center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  <w:shd w:fill="EEF4F8"/>
          </w:tcPr>
          <w:p>
            <w:pPr>
              <w:spacing w:after="0"/>
              <w:jc w:val="left"/>
            </w:pPr>
            <w:r>
              <w:rPr>
                <w:rFonts w:ascii="Arimo" w:hAnsi="Arimo"/>
                <w:b/>
                <w:color w:val="1F4E79"/>
                <w:sz w:val="19"/>
              </w:rPr>
              <w:t>Ügyfélszolgálati e-mail cím</w:t>
            </w:r>
          </w:p>
        </w:tc>
        <w:tc>
          <w:tcPr>
            <w:tcW w:type="dxa" w:w="6463"/>
            <w:vAlign w:val="center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</w:tcPr>
          <w:p>
            <w:pPr>
              <w:spacing w:after="0"/>
              <w:jc w:val="left"/>
            </w:pPr>
            <w:hyperlink r:id="rId13">
              <w:r>
                <w:rPr>
                  <w:color w:val="0563C1"/>
                  <w:u w:val="single"/>
                </w:rPr>
                <w:t>support@figyeljbefele.hu</w:t>
              </w:r>
            </w:hyperlink>
          </w:p>
        </w:tc>
      </w:tr>
      <w:tr>
        <w:tc>
          <w:tcPr>
            <w:tcW w:type="dxa" w:w="2608"/>
            <w:vAlign w:val="center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  <w:shd w:fill="EEF4F8"/>
          </w:tcPr>
          <w:p>
            <w:pPr>
              <w:spacing w:after="0"/>
              <w:jc w:val="left"/>
            </w:pPr>
            <w:r>
              <w:rPr>
                <w:rFonts w:ascii="Arimo" w:hAnsi="Arimo"/>
                <w:b/>
                <w:color w:val="1F4E79"/>
                <w:sz w:val="19"/>
              </w:rPr>
              <w:t>Weboldal</w:t>
            </w:r>
          </w:p>
        </w:tc>
        <w:tc>
          <w:tcPr>
            <w:tcW w:type="dxa" w:w="6463"/>
            <w:vAlign w:val="center"/>
            <w:tcBorders>
              <w:top w:val="single" w:sz="4" w:color="D9E2F3"/>
              <w:left w:val="single" w:sz="4" w:color="D9E2F3"/>
              <w:bottom w:val="single" w:sz="4" w:color="D9E2F3"/>
              <w:right w:val="single" w:sz="4" w:color="D9E2F3"/>
            </w:tcBorders>
          </w:tcPr>
          <w:p>
            <w:pPr>
              <w:spacing w:after="0"/>
              <w:jc w:val="left"/>
            </w:pPr>
            <w:hyperlink r:id="rId14">
              <w:r>
                <w:rPr>
                  <w:color w:val="0563C1"/>
                  <w:u w:val="single"/>
                </w:rPr>
                <w:t>figyeljbefele.hu</w:t>
              </w:r>
            </w:hyperlink>
          </w:p>
        </w:tc>
      </w:tr>
    </w:tbl>
    <w:p>
      <w:pPr>
        <w:spacing w:after="40"/>
      </w:pPr>
    </w:p>
    <w:p>
      <w:pPr>
        <w:spacing w:after="120"/>
      </w:pPr>
      <w:r>
        <w:t>A fentiekben megnevezett egyéni vállalkozó a továbbiakban: Szolgáltató.</w:t>
      </w:r>
    </w:p>
    <w:p>
      <w:pPr>
        <w:spacing w:after="120"/>
      </w:pPr>
      <w:r>
        <w:t>Tárhely- és technológiai szolgáltatók (nem azonosak a Szolgáltatóval): Google Ireland Limited (frontend), Supabase, Inc. (backend és adatbázis), Cloudflare, Inc. (hálózati védelem).</w:t>
      </w:r>
    </w:p>
    <w:p>
      <w:pPr>
        <w:spacing w:after="120"/>
      </w:pPr>
      <w:r>
        <w:t>A Szolgáltatás használatával a felhasználó (a továbbiakban: Felhasználó) kijelenti, hogy jelen ÁSZF rendelkezéseit megismerte, megértette és azokat magára nézve kötelezőnek elfogadja.</w:t>
      </w:r>
    </w:p>
    <w:p>
      <w:pPr>
        <w:pStyle w:val="Heading1"/>
        <w:pBdr>
          <w:bottom w:val="single" w:sz="5" w:space="3" w:color="A9C4DA"/>
        </w:pBdr>
      </w:pPr>
      <w:r>
        <w:t>2. A Szolgáltatás jellege és célja</w:t>
      </w:r>
    </w:p>
    <w:p>
      <w:pPr>
        <w:spacing w:after="120"/>
      </w:pPr>
      <w:r>
        <w:t>A Szolgáltatás digitális formában elérhető meditációs és relaxációs hanganyagokat biztosít a Felhasználók számára, online (weben) és mobilalkalmazásokon keresztül. A Szolgáltatás célja a kikapcsolódás, relaxáció és tudatos jelenlét támogatása. A Szolgáltatás nem minősül egészségügyi, pszichológiai vagy terápiás szolgáltatásnak.</w:t>
      </w:r>
    </w:p>
    <w:p>
      <w:pPr>
        <w:pStyle w:val="Heading1"/>
        <w:pBdr>
          <w:bottom w:val="single" w:sz="5" w:space="3" w:color="A9C4DA"/>
        </w:pBdr>
      </w:pPr>
      <w:r>
        <w:t>3. Felhasználói fiók és regisztráció</w:t>
      </w:r>
    </w:p>
    <w:p>
      <w:pPr>
        <w:spacing w:after="120"/>
      </w:pPr>
      <w:r>
        <w:t>A Szolgáltatás használata regisztrációhoz kötött. A regisztráció az alábbi módokon történhet:</w:t>
      </w:r>
    </w:p>
    <w:p>
      <w:pPr>
        <w:pStyle w:val="ListBullet"/>
        <w:spacing w:after="80"/>
        <w:ind w:left="425" w:hanging="227"/>
        <w:jc w:val="both"/>
      </w:pPr>
      <w:r>
        <w:t>E-mail cím és jelszó megadásával (weben és mobilalkalmazásban egyaránt).</w:t>
      </w:r>
    </w:p>
    <w:p>
      <w:pPr>
        <w:pStyle w:val="ListBullet"/>
        <w:spacing w:after="80"/>
        <w:ind w:left="425" w:hanging="227"/>
        <w:jc w:val="both"/>
      </w:pPr>
      <w:r>
        <w:t>Facebook-fiókhitelesítéssel (weben és mobilalkalmazásban egyaránt).</w:t>
      </w:r>
    </w:p>
    <w:p>
      <w:pPr>
        <w:pStyle w:val="ListBullet"/>
        <w:spacing w:after="80"/>
        <w:ind w:left="425" w:hanging="227"/>
        <w:jc w:val="both"/>
      </w:pPr>
      <w:r>
        <w:t>Google-fiók hitelesítéssel (weben és mobilalkalmazásban egyaránt).</w:t>
      </w:r>
    </w:p>
    <w:p>
      <w:pPr>
        <w:pStyle w:val="ListBullet"/>
        <w:spacing w:after="80"/>
        <w:ind w:left="425" w:hanging="227"/>
        <w:jc w:val="both"/>
      </w:pPr>
      <w:r>
        <w:t>Apple ID hitelesítéssel (weben és mobilalkalmazásban egyaránt).</w:t>
      </w:r>
    </w:p>
    <w:p>
      <w:pPr>
        <w:spacing w:after="120"/>
      </w:pPr>
      <w:r>
        <w:t>E-mail címes regisztráció esetén a Felhasználó köteles valós adatokat megadni, és gondoskodni a jelszava biztonságáról. A jelszavakat a Szolgáltató egyirányúan hash-elt (nem visszafejthető) formában tárolja, azokhoz közvetlenül nem fér hozzá. Külső hitelesítő (Google/Facebook/Apple) használata esetén a Szolgáltató kizárólag a Felhasználó nevét, e-mail címét, profilképét (ha elérhető), valamint az azonosításhoz szükséges technikai adatokat veszi át. A Felhasználó tudomásul veszi, hogy amennyiben elveszíti hozzáférését a külső hitelesítő fiókjához, a Szolgáltató nem feltétlenül tud hozzáférést biztosítani a Szolgáltatáshoz; ilyen esetben a külső szolgáltatóval (Google/Facebook/Apple) kell egyeztetni. Egy Felhasználó egy fiókot jogosult létrehozni.</w:t>
      </w:r>
    </w:p>
    <w:p>
      <w:pPr>
        <w:pStyle w:val="Heading1"/>
        <w:pBdr>
          <w:bottom w:val="single" w:sz="5" w:space="3" w:color="A9C4DA"/>
        </w:pBdr>
      </w:pPr>
      <w:r>
        <w:t>4. Előfizetéses szolgáltatások</w:t>
      </w:r>
    </w:p>
    <w:p>
      <w:pPr>
        <w:spacing w:after="120"/>
      </w:pPr>
      <w:r>
        <w:t>A Szolgáltatás ingyenes és előfizetéshez kötött tartalmakat egyaránt kínál. A számlázás kizárólag magyar forintban (HUF) történik, és a feltüntetett árak tartalmazzák az általános forgalmi adót (ÁFA). Az előfizetési csomagok alapértelmezetten automatikusan megújulnak az adott időszak végén, a díj a fordulónapon kerül levonásra.</w:t>
      </w:r>
    </w:p>
    <w:p>
      <w:pPr>
        <w:spacing w:after="120"/>
      </w:pPr>
      <w:r>
        <w:t>A platformtól függően az előfizetés feltételei az alábbiak szerint alakulnak:</w:t>
      </w:r>
    </w:p>
    <w:p>
      <w:pPr>
        <w:pStyle w:val="LegalMiniheading"/>
      </w:pPr>
      <w:r>
        <w:t>A) Webes előfizetés (</w:t>
      </w:r>
      <w:hyperlink r:id="rId14">
        <w:r>
          <w:rPr>
            <w:color w:val="0563C1"/>
            <w:u w:val="single"/>
          </w:rPr>
          <w:t>figyeljbefele.hu</w:t>
        </w:r>
      </w:hyperlink>
      <w:r>
        <w:t>)</w:t>
      </w:r>
    </w:p>
    <w:p>
      <w:pPr>
        <w:pStyle w:val="ListBullet"/>
        <w:spacing w:after="80"/>
        <w:ind w:left="425" w:hanging="227"/>
        <w:jc w:val="both"/>
      </w:pPr>
      <w:r>
        <w:rPr>
          <w:b/>
        </w:rPr>
        <w:t>Díj:</w:t>
      </w:r>
      <w:r>
        <w:t xml:space="preserve"> 899 Ft / hónap</w:t>
      </w:r>
    </w:p>
    <w:p>
      <w:pPr>
        <w:pStyle w:val="ListBullet"/>
        <w:spacing w:after="80"/>
        <w:ind w:left="425" w:hanging="227"/>
        <w:jc w:val="both"/>
      </w:pPr>
      <w:r>
        <w:rPr>
          <w:b/>
        </w:rPr>
        <w:t>Fizetési mód:</w:t>
      </w:r>
      <w:r>
        <w:t xml:space="preserve"> Kizárólag a Stripe rendszerén keresztül, bankkártyával. A Szolgáltató a bankkártya-adatokhoz nem fér hozzá, azokat teljes egészében a Stripe kezeli.</w:t>
      </w:r>
    </w:p>
    <w:p>
      <w:pPr>
        <w:pStyle w:val="ListBullet"/>
        <w:spacing w:after="80"/>
        <w:ind w:left="425" w:hanging="227"/>
        <w:jc w:val="both"/>
      </w:pPr>
      <w:r>
        <w:rPr>
          <w:b/>
        </w:rPr>
        <w:t>Lemondás:</w:t>
      </w:r>
      <w:r>
        <w:t xml:space="preserve"> Bármikor lemondható a Szolgáltatás webes felületén belül, a felhasználói fiókban. Ebben az esetben a már kifizetett időszak végén a hozzáférés megszűnik.</w:t>
      </w:r>
    </w:p>
    <w:p>
      <w:pPr>
        <w:pStyle w:val="LegalMiniheading"/>
      </w:pPr>
      <w:r>
        <w:t>B) Mobilalkalmazásos előfizetés (In-App Purchase)</w:t>
      </w:r>
    </w:p>
    <w:p>
      <w:pPr>
        <w:pStyle w:val="ListBullet"/>
        <w:spacing w:after="80"/>
        <w:ind w:left="425" w:hanging="227"/>
        <w:jc w:val="both"/>
      </w:pPr>
      <w:r>
        <w:rPr>
          <w:b/>
        </w:rPr>
        <w:t>Díj:</w:t>
      </w:r>
      <w:r>
        <w:t xml:space="preserve"> 899 Ft / hónap</w:t>
      </w:r>
    </w:p>
    <w:p>
      <w:pPr>
        <w:pStyle w:val="ListBullet"/>
        <w:spacing w:after="80"/>
        <w:ind w:left="425" w:hanging="227"/>
        <w:jc w:val="both"/>
      </w:pPr>
      <w:r>
        <w:rPr>
          <w:b/>
        </w:rPr>
        <w:t>Fizetési mód és jogosultságkezelés:</w:t>
      </w:r>
      <w:r>
        <w:t xml:space="preserve"> A tényleges fizetési tranzakció az Apple App Store vagy a Google Play Áruház rendszerén keresztül történik, a Felhasználó adott platformhoz kötött fizetési módjával. A mobilos előfizetések jogosultság-ellenőrzését és technikai adminisztrációját a Szolgáltató a RevenueCat szolgáltatáson keresztül végzi. A bankkártya-adatokhoz sem a Szolgáltató, sem a RevenueCat nem fér hozzá.</w:t>
      </w:r>
    </w:p>
    <w:p>
      <w:pPr>
        <w:pStyle w:val="ListBullet"/>
        <w:spacing w:after="80"/>
        <w:ind w:left="425" w:hanging="227"/>
        <w:jc w:val="both"/>
      </w:pPr>
      <w:r>
        <w:rPr>
          <w:b/>
        </w:rPr>
        <w:t>Lemondás és visszatérítés:</w:t>
      </w:r>
      <w:r>
        <w:t xml:space="preserve"> A mobilalkalmazásos előfizetéseket a Szolgáltató nem tudja közvetlenül módosítani, törölni vagy visszatéríteni. A lemondást a Felhasználónak a saját Apple ID beállításaiban (iOS), vagy a Google Play Áruház előfizetések menüpontjában (Android) kell kezelnie a platformok saját szabályzatai alapján.</w:t>
      </w:r>
    </w:p>
    <w:p>
      <w:pPr>
        <w:spacing w:after="120"/>
      </w:pPr>
      <w:r>
        <w:t>Kedvezmények: A Szolgáltatásban nincsenek kuponok vagy egyedi kedvezmények. A Szolgáltató fenntartja a jogot az előfizetési díjak módosítására, amelyről a Felhasználót legalább 30 nappal korábban tájékoztatja.</w:t>
      </w:r>
    </w:p>
    <w:p>
      <w:pPr>
        <w:pStyle w:val="Heading1"/>
        <w:pBdr>
          <w:bottom w:val="single" w:sz="5" w:space="3" w:color="A9C4DA"/>
        </w:pBdr>
      </w:pPr>
      <w:r>
        <w:t>5. Digitális tartalom felhasználása</w:t>
      </w:r>
    </w:p>
    <w:p>
      <w:pPr>
        <w:spacing w:after="120"/>
      </w:pPr>
      <w:r>
        <w:t>A Szolgáltatásban elérhető hanganyagok és egyéb tartalmak szerzői jogvédelem alatt állnak.</w:t>
      </w:r>
    </w:p>
    <w:p>
      <w:pPr>
        <w:spacing w:after="120"/>
      </w:pPr>
      <w:r>
        <w:t>A Felhasználó jogosult a tartalmakat:</w:t>
      </w:r>
    </w:p>
    <w:p>
      <w:pPr>
        <w:pStyle w:val="ListBullet"/>
        <w:spacing w:after="80"/>
        <w:ind w:left="425" w:hanging="227"/>
        <w:jc w:val="both"/>
      </w:pPr>
      <w:r>
        <w:t>kizárólag személyes,</w:t>
      </w:r>
    </w:p>
    <w:p>
      <w:pPr>
        <w:pStyle w:val="ListBullet"/>
        <w:spacing w:after="80"/>
        <w:ind w:left="425" w:hanging="227"/>
        <w:jc w:val="both"/>
      </w:pPr>
      <w:r>
        <w:t>nem üzleti,</w:t>
      </w:r>
    </w:p>
    <w:p>
      <w:pPr>
        <w:pStyle w:val="ListBullet"/>
        <w:spacing w:after="80"/>
        <w:ind w:left="425" w:hanging="227"/>
        <w:jc w:val="both"/>
      </w:pPr>
      <w:r>
        <w:t>nem kereskedelmi célból használni.</w:t>
      </w:r>
    </w:p>
    <w:p>
      <w:pPr>
        <w:spacing w:after="120"/>
      </w:pPr>
      <w:r>
        <w:t>Tilos:</w:t>
      </w:r>
    </w:p>
    <w:p>
      <w:pPr>
        <w:pStyle w:val="ListBullet"/>
        <w:spacing w:after="80"/>
        <w:ind w:left="425" w:hanging="227"/>
        <w:jc w:val="both"/>
      </w:pPr>
      <w:r>
        <w:t>a tartalmak letöltése kivéve a mobilalkalmazás beépített offline hallgatási funkcióját,</w:t>
      </w:r>
    </w:p>
    <w:p>
      <w:pPr>
        <w:pStyle w:val="ListBullet"/>
        <w:spacing w:after="80"/>
        <w:ind w:left="425" w:hanging="227"/>
        <w:jc w:val="both"/>
      </w:pPr>
      <w:r>
        <w:t>másolása,</w:t>
      </w:r>
    </w:p>
    <w:p>
      <w:pPr>
        <w:pStyle w:val="ListBullet"/>
        <w:spacing w:after="80"/>
        <w:ind w:left="425" w:hanging="227"/>
        <w:jc w:val="both"/>
      </w:pPr>
      <w:r>
        <w:t>terjesztése,</w:t>
      </w:r>
    </w:p>
    <w:p>
      <w:pPr>
        <w:pStyle w:val="ListBullet"/>
        <w:spacing w:after="80"/>
        <w:ind w:left="425" w:hanging="227"/>
        <w:jc w:val="both"/>
      </w:pPr>
      <w:r>
        <w:t>nyilvános előadása,</w:t>
      </w:r>
    </w:p>
    <w:p>
      <w:pPr>
        <w:pStyle w:val="ListBullet"/>
        <w:spacing w:after="80"/>
        <w:ind w:left="425" w:hanging="227"/>
        <w:jc w:val="both"/>
      </w:pPr>
      <w:r>
        <w:t>harmadik fél számára történő továbbadása.</w:t>
      </w:r>
    </w:p>
    <w:p>
      <w:pPr>
        <w:pStyle w:val="Heading1"/>
        <w:pBdr>
          <w:bottom w:val="single" w:sz="5" w:space="3" w:color="A9C4DA"/>
        </w:pBdr>
      </w:pPr>
      <w:r>
        <w:t>6. Egészségügyi felelősségkizárás</w:t>
      </w:r>
    </w:p>
    <w:p>
      <w:pPr>
        <w:spacing w:after="120"/>
      </w:pPr>
      <w:r>
        <w:t>A Szolgáltatás nem helyettesít orvosi, pszichológiai vagy mentálhigiénés ellátást. A Szolgáltató nem vállal felelősséget a Szolgáltatás használatából eredő egyéni reakciókért, döntésekért. A Felhasználó a Szolgáltatást saját felelősségére veszi igénybe. Egészségügyi panasz esetén szakember felkeresése javasolt.</w:t>
      </w:r>
    </w:p>
    <w:p>
      <w:pPr>
        <w:pStyle w:val="Heading1"/>
        <w:pBdr>
          <w:bottom w:val="single" w:sz="5" w:space="3" w:color="A9C4DA"/>
        </w:pBdr>
      </w:pPr>
      <w:r>
        <w:t>7. A Szolgáltatás elérhetősége</w:t>
      </w:r>
    </w:p>
    <w:p>
      <w:pPr>
        <w:spacing w:after="120"/>
      </w:pPr>
      <w:r>
        <w:t>A Szolgáltató törekszik a Szolgáltatás folyamatos elérhetőségére, azonban nem garantálja a megszakítás nélküli működést.</w:t>
      </w:r>
    </w:p>
    <w:p>
      <w:pPr>
        <w:spacing w:after="120"/>
      </w:pPr>
      <w:r>
        <w:t>A Szolgáltatás ideiglenesen nem elérhető lehet:</w:t>
      </w:r>
    </w:p>
    <w:p>
      <w:pPr>
        <w:pStyle w:val="ListBullet"/>
        <w:spacing w:after="80"/>
        <w:ind w:left="425" w:hanging="227"/>
        <w:jc w:val="both"/>
      </w:pPr>
      <w:r>
        <w:t>karbantartás,</w:t>
      </w:r>
    </w:p>
    <w:p>
      <w:pPr>
        <w:pStyle w:val="ListBullet"/>
        <w:spacing w:after="80"/>
        <w:ind w:left="425" w:hanging="227"/>
        <w:jc w:val="both"/>
      </w:pPr>
      <w:r>
        <w:t>technikai hiba,</w:t>
      </w:r>
    </w:p>
    <w:p>
      <w:pPr>
        <w:pStyle w:val="ListBullet"/>
        <w:spacing w:after="80"/>
        <w:ind w:left="425" w:hanging="227"/>
        <w:jc w:val="both"/>
      </w:pPr>
      <w:r>
        <w:t>külső szolgáltatók hibája esetén (Google Ireland Limited, Supabase, Cloudflare, Apple, Google Play, Meta/Facebook)</w:t>
      </w:r>
    </w:p>
    <w:p>
      <w:pPr>
        <w:pStyle w:val="Heading1"/>
        <w:pBdr>
          <w:bottom w:val="single" w:sz="5" w:space="3" w:color="A9C4DA"/>
        </w:pBdr>
      </w:pPr>
      <w:r>
        <w:t>8. Felelősség korlátozása</w:t>
      </w:r>
    </w:p>
    <w:p>
      <w:pPr>
        <w:spacing w:after="120"/>
      </w:pPr>
      <w:r>
        <w:t>A Szolgáltató – a szándékosan okozott, továbbá az emberi életet, testi épséget vagy egészséget megkárosító szerződésszegésért való felelősség kivételével – nem vállal felelősséget a Szolgáltatás használatából eredő közvetett károkért, elmaradt haszonért, adatvesztésért, vagy az egyéni elvárások nem teljesüléséért. A Szolgáltatás használata nem garantál konkrét eredményt (pl. stresszcsökkenés, jobb alvás). A Szolgáltató a Felhasználók személyes adatait a GDPR és a vonatkozó magyar jogszabályok szerint kezeli. A részletes szabályokat a külön elérhető Adatkezelési Tájékoztató tartalmazza, amely jelen ÁSZF elválaszthatatlan részét képezi.</w:t>
      </w:r>
    </w:p>
    <w:p>
      <w:pPr>
        <w:pStyle w:val="Heading1"/>
        <w:pBdr>
          <w:bottom w:val="single" w:sz="5" w:space="3" w:color="A9C4DA"/>
        </w:pBdr>
      </w:pPr>
      <w:r>
        <w:t>9. Elállási jog digitális tartalom esetén</w:t>
      </w:r>
    </w:p>
    <w:p>
      <w:pPr>
        <w:spacing w:after="120"/>
      </w:pPr>
      <w:r>
        <w:t>A Felhasználó tudomásul veszi, hogy a Szolgáltatás nem tárgyi adathordozón nyújtott digitális tartalomnak minősül.</w:t>
      </w:r>
    </w:p>
    <w:p>
      <w:pPr>
        <w:pStyle w:val="ListBullet"/>
        <w:spacing w:after="80"/>
        <w:ind w:left="425" w:hanging="227"/>
        <w:jc w:val="both"/>
      </w:pPr>
      <w:r>
        <w:rPr>
          <w:b/>
        </w:rPr>
        <w:t>Webes előfizetés esetén:</w:t>
      </w:r>
      <w:r>
        <w:t xml:space="preserve"> A vásárlás folyamán a Felhasználó kifejezetten nyilatkozik arról, hogy kéri a teljesítés azonnali megkezdését, és tudomásul veszi, hogy ezzel a jogszabály szerinti 14 napos elállási jogát elveszíti.</w:t>
      </w:r>
    </w:p>
    <w:p>
      <w:pPr>
        <w:pStyle w:val="ListBullet"/>
        <w:spacing w:after="80"/>
        <w:ind w:left="425" w:hanging="227"/>
        <w:jc w:val="both"/>
      </w:pPr>
      <w:r>
        <w:rPr>
          <w:b/>
        </w:rPr>
        <w:t>Mobilalkalmazáson belüli vásárlás esetén:</w:t>
      </w:r>
      <w:r>
        <w:t xml:space="preserve"> A visszatérítési és elállási jogokra az Apple (App Store) és a Google (Google Play) saját, vonatkozó irányelvei és visszatérítési szabályzatai az irányadók. A Szolgáltató közvetlen visszatérítést ezen platformokon keresztül történő vásárlás esetén nem tud biztosítani.</w:t>
      </w:r>
    </w:p>
    <w:p>
      <w:pPr>
        <w:pStyle w:val="Heading1"/>
        <w:pBdr>
          <w:bottom w:val="single" w:sz="5" w:space="3" w:color="A9C4DA"/>
        </w:pBdr>
      </w:pPr>
      <w:r>
        <w:t>10. Fiók felfüggesztése és megszüntetése</w:t>
      </w:r>
    </w:p>
    <w:p>
      <w:pPr>
        <w:spacing w:after="120"/>
      </w:pPr>
      <w:r>
        <w:t>A Szolgáltató jogosult a Felhasználó fiókját felfüggeszteni vagy megszüntetni, amennyiben:</w:t>
      </w:r>
    </w:p>
    <w:p>
      <w:pPr>
        <w:pStyle w:val="ListBullet"/>
        <w:spacing w:after="80"/>
        <w:ind w:left="425" w:hanging="227"/>
        <w:jc w:val="both"/>
      </w:pPr>
      <w:r>
        <w:t>a Felhasználó megsérti jelen ÁSZF rendelkezéseit,</w:t>
      </w:r>
    </w:p>
    <w:p>
      <w:pPr>
        <w:pStyle w:val="ListBullet"/>
        <w:spacing w:after="80"/>
        <w:ind w:left="425" w:hanging="227"/>
        <w:jc w:val="both"/>
      </w:pPr>
      <w:r>
        <w:t>visszaélésszerű használat történik,</w:t>
      </w:r>
    </w:p>
    <w:p>
      <w:pPr>
        <w:pStyle w:val="ListBullet"/>
        <w:spacing w:after="80"/>
        <w:ind w:left="425" w:hanging="227"/>
        <w:jc w:val="both"/>
      </w:pPr>
      <w:r>
        <w:t>jogszabály ezt megköveteli.</w:t>
      </w:r>
    </w:p>
    <w:p>
      <w:pPr>
        <w:pStyle w:val="ListBullet"/>
        <w:spacing w:after="80"/>
        <w:ind w:left="425" w:hanging="227"/>
        <w:jc w:val="both"/>
      </w:pPr>
      <w:r>
        <w:t>A fiók megszüntetése esetén a személyes adatok kezelése az Adatkezelési Tájékoztatóban foglaltak szerint történik</w:t>
      </w:r>
    </w:p>
    <w:p>
      <w:pPr>
        <w:pStyle w:val="Heading1"/>
        <w:pBdr>
          <w:bottom w:val="single" w:sz="5" w:space="3" w:color="A9C4DA"/>
        </w:pBdr>
      </w:pPr>
      <w:r>
        <w:t>11. Szerzői jog</w:t>
      </w:r>
    </w:p>
    <w:p>
      <w:pPr>
        <w:spacing w:after="120"/>
      </w:pPr>
      <w:r>
        <w:t>A Szolgáltatás teljes tartalma a Szolgáltató vagy partnerei szellemi tulajdonát képezi.</w:t>
      </w:r>
    </w:p>
    <w:p>
      <w:pPr>
        <w:spacing w:after="120"/>
      </w:pPr>
      <w:r>
        <w:t>A jogellenes felhasználás jogi következményeket vonhat maga után.</w:t>
      </w:r>
    </w:p>
    <w:p>
      <w:pPr>
        <w:pStyle w:val="Heading1"/>
        <w:pBdr>
          <w:bottom w:val="single" w:sz="5" w:space="3" w:color="A9C4DA"/>
        </w:pBdr>
      </w:pPr>
      <w:r>
        <w:t>12. Kapcsolattartás</w:t>
      </w:r>
    </w:p>
    <w:p>
      <w:pPr>
        <w:spacing w:after="120"/>
      </w:pPr>
      <w:r>
        <w:t>A Szolgáltatással kapcsolatos kérdések, észrevételek a Szolgáltató elérhetőségein keresztül jelezhetők.</w:t>
      </w:r>
    </w:p>
    <w:p>
      <w:pPr>
        <w:pStyle w:val="Heading1"/>
        <w:pBdr>
          <w:bottom w:val="single" w:sz="5" w:space="3" w:color="A9C4DA"/>
        </w:pBdr>
      </w:pPr>
      <w:r>
        <w:t>13. Irányadó jog és jogvita</w:t>
      </w:r>
    </w:p>
    <w:p>
      <w:pPr>
        <w:pStyle w:val="LegalMiniheading"/>
      </w:pPr>
      <w:r>
        <w:t>Panaszkezelés</w:t>
      </w:r>
    </w:p>
    <w:p>
      <w:pPr>
        <w:spacing w:after="120"/>
      </w:pPr>
      <w:r>
        <w:t xml:space="preserve">A Felhasználó a szolgáltatással kapcsolatos panaszait írásban, a </w:t>
      </w:r>
      <w:hyperlink r:id="rId13">
        <w:r>
          <w:rPr>
            <w:color w:val="0563C1"/>
            <w:u w:val="single"/>
          </w:rPr>
          <w:t>support@figyeljbefele.hu</w:t>
        </w:r>
      </w:hyperlink>
      <w:r>
        <w:t xml:space="preserve"> e-mail címen jelezheti.</w:t>
      </w:r>
    </w:p>
    <w:p>
      <w:pPr>
        <w:pStyle w:val="ListBullet"/>
        <w:spacing w:after="80"/>
        <w:ind w:left="425" w:hanging="227"/>
        <w:jc w:val="both"/>
      </w:pPr>
      <w:r>
        <w:t>A Szolgáltató a panaszt 30 napon belül megvizsgálja és írásban megválaszolja.</w:t>
      </w:r>
    </w:p>
    <w:p>
      <w:pPr>
        <w:pStyle w:val="ListBullet"/>
        <w:spacing w:after="80"/>
        <w:ind w:left="425" w:hanging="227"/>
        <w:jc w:val="both"/>
      </w:pPr>
      <w:r>
        <w:t>Elutasítás esetén a Szolgáltató indokolni köteles döntését.</w:t>
      </w:r>
    </w:p>
    <w:p>
      <w:pPr>
        <w:pStyle w:val="ListBullet"/>
        <w:spacing w:after="80"/>
        <w:ind w:left="425" w:hanging="227"/>
        <w:jc w:val="both"/>
      </w:pPr>
      <w:r>
        <w:t>A Szolgáltató a békéltető testületi eljárásban együttműködésre köteles.</w:t>
      </w:r>
    </w:p>
    <w:p>
      <w:pPr>
        <w:spacing w:after="120"/>
      </w:pPr>
      <w:r>
        <w:t>Jelen ÁSZF-re a magyar jog az irányadó.</w:t>
      </w:r>
    </w:p>
    <w:p>
      <w:pPr>
        <w:spacing w:after="120"/>
      </w:pPr>
      <w:r>
        <w:t>A felek törekednek a vitás kérdések békés rendezésére.</w:t>
      </w:r>
    </w:p>
    <w:p>
      <w:pPr>
        <w:spacing w:after="120"/>
      </w:pPr>
      <w:r>
        <w:t xml:space="preserve">Fogyasztói jogvita esetén a Felhasználó a lakóhelye vagy tartózkodási helye szerint illetékes békéltető testülethez fordulhat. A békéltető testületek névsora és aktuális elérhetősége a </w:t>
      </w:r>
      <w:hyperlink r:id="rId15">
        <w:r>
          <w:rPr>
            <w:color w:val="0563C1"/>
            <w:u w:val="single"/>
          </w:rPr>
          <w:t>bekeltetes.hu</w:t>
        </w:r>
      </w:hyperlink>
      <w:r>
        <w:t xml:space="preserve"> oldalon érhető el.</w:t>
      </w:r>
    </w:p>
    <w:p>
      <w:pPr>
        <w:spacing w:after="120"/>
      </w:pPr>
      <w:r>
        <w:t>A Szolgáltató székhelye szerint illetékes testület a Bács-Kiskun Vármegyei Békéltető Testület (a Bács-Kiskun Vármegyei Kereskedelmi és Iparkamara mellett működik). A Felhasználó ugyanakkor a saját lakóhelye szerinti testülethez is fordulhat.</w:t>
      </w:r>
    </w:p>
    <w:p>
      <w:pPr>
        <w:spacing w:after="120"/>
      </w:pPr>
      <w:r>
        <w:t>Ennek eredménytelensége esetén a hatáskörrel rendelkező magyar bíróság jár el.</w:t>
      </w:r>
    </w:p>
    <w:p>
      <w:pPr>
        <w:pStyle w:val="Heading1"/>
        <w:pBdr>
          <w:bottom w:val="single" w:sz="5" w:space="3" w:color="A9C4DA"/>
        </w:pBdr>
      </w:pPr>
      <w:r>
        <w:t>14. Záró rendelkezések</w:t>
      </w:r>
    </w:p>
    <w:p>
      <w:pPr>
        <w:spacing w:after="120"/>
      </w:pPr>
      <w:r>
        <w:t>A Szolgáltató fenntartja a jogot jelen ÁSZF módosítására.</w:t>
      </w:r>
    </w:p>
    <w:p>
      <w:pPr>
        <w:spacing w:after="120"/>
      </w:pPr>
      <w:r>
        <w:t>A módosításokról a Szolgáltatás felületén keresztül nyújt tájékoztatást.</w:t>
      </w:r>
    </w:p>
    <w:sectPr w:rsidR="00FC693F" w:rsidRPr="0006063C" w:rsidSect="00034616">
      <w:headerReference w:type="default" r:id="rId9"/>
      <w:headerReference w:type="first" r:id="rId10"/>
      <w:footerReference w:type="default" r:id="rId11"/>
      <w:footerReference w:type="first" r:id="rId12"/>
      <w:pgSz w:w="11906" w:h="16838"/>
      <w:pgMar w:top="1191" w:right="1276" w:bottom="1134" w:left="1332" w:header="454" w:footer="45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mo" w:hAnsi="Arimo"/>
        <w:color w:val="666666"/>
        <w:sz w:val="16"/>
      </w:rPr>
      <w:t xml:space="preserve">FigyeljBefele  •  </w:t>
    </w:r>
    <w:r>
      <w:fldChar w:fldCharType="begin"/>
      <w:instrText xml:space="preserve">PAGE</w:instrText>
      <w:fldChar w:fldCharType="end"/>
    </w:r>
    <w:r>
      <w:rPr>
        <w:color w:val="666666"/>
        <w:sz w:val="16"/>
      </w:rPr>
      <w:t xml:space="preserve"> / </w:t>
    </w:r>
    <w:r>
      <w:fldChar w:fldCharType="begin"/>
      <w:instrText xml:space="preserve">NUMPAGES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mo" w:hAnsi="Arimo"/>
        <w:color w:val="666666"/>
        <w:sz w:val="16"/>
      </w:rPr>
      <w:t xml:space="preserve">FigyeljBefele  •  </w:t>
    </w:r>
    <w:r>
      <w:fldChar w:fldCharType="begin"/>
      <w:instrText xml:space="preserve">PAGE</w:instrText>
      <w:fldChar w:fldCharType="end"/>
    </w:r>
    <w:r>
      <w:rPr>
        <w:color w:val="666666"/>
        <w:sz w:val="16"/>
      </w:rP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4" w:space="3" w:color="D9D9D9"/>
      </w:pBdr>
    </w:pPr>
    <w:r>
      <w:rPr>
        <w:rFonts w:ascii="Arimo" w:hAnsi="Arimo"/>
        <w:b/>
        <w:color w:val="666666"/>
        <w:sz w:val="16"/>
      </w:rPr>
      <w:t>FIGYELJBEFELE  |  FELHASZNÁLÁSI FELTÉTELEK (ÁSZF)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1" w:lineRule="auto"/>
      <w:jc w:val="both"/>
    </w:pPr>
    <w:rPr>
      <w:rFonts w:ascii="Arimo" w:hAnsi="Arimo" w:eastAsia="Arimo"/>
      <w:color w:val="22222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mo" w:hAnsi="Arimo" w:eastAsia="Arimo"/>
      <w:b/>
      <w:bCs/>
      <w:color w:val="1F4E79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mo" w:hAnsi="Arimo" w:eastAsia="Arimo"/>
      <w:b/>
      <w:bCs/>
      <w:color w:val="2F75B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mo" w:hAnsi="Arimo" w:eastAsia="Arimo"/>
      <w:color w:val="222222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mo" w:hAnsi="Arimo" w:eastAsia="Arimo"/>
      <w:color w:val="222222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Miniheading">
    <w:name w:val="Legal Miniheading"/>
    <w:pPr>
      <w:keepNext/>
      <w:spacing w:before="160" w:after="80"/>
    </w:pPr>
    <w:rPr>
      <w:rFonts w:ascii="Arimo" w:hAnsi="Arimo" w:eastAsia="Arimo"/>
      <w:b/>
      <w:color w:val="1F4E79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yperlink" Target="mailto:support@figyeljbefele.hu" TargetMode="External"/><Relationship Id="rId14" Type="http://schemas.openxmlformats.org/officeDocument/2006/relationships/hyperlink" Target="https://figyeljbefele.hu" TargetMode="External"/><Relationship Id="rId15" Type="http://schemas.openxmlformats.org/officeDocument/2006/relationships/hyperlink" Target="https://bekeltetes.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Felhasználási feltételek (ÁSZF) – FigyeljBefele</dc:title>
  <dc:subject>Általános Szerződési Feltételek / Felhasználási feltételek</dc:subject>
  <dc:creator>python-docx</dc:creator>
  <cp:keywords>FigyeljBefele, ÁSZF, felhasználási feltételek</cp:keywords>
  <dc:description>Formázott, egységes jogi dokumentumstílus.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